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271462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271462">
              <w:rPr>
                <w:rFonts w:ascii="Times New Roman" w:hAnsi="Times New Roman"/>
                <w:sz w:val="24"/>
                <w:szCs w:val="24"/>
              </w:rPr>
              <w:t>Ю.А. Мартынов</w:t>
            </w:r>
          </w:p>
          <w:p w:rsidR="00744531" w:rsidRPr="0018335C" w:rsidRDefault="00744531" w:rsidP="003D11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3D1188">
              <w:rPr>
                <w:rFonts w:ascii="Times New Roman" w:hAnsi="Times New Roman"/>
                <w:sz w:val="24"/>
                <w:szCs w:val="24"/>
              </w:rPr>
              <w:t>20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27146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14B25">
              <w:rPr>
                <w:rFonts w:ascii="Times New Roman" w:hAnsi="Times New Roman"/>
                <w:sz w:val="24"/>
                <w:szCs w:val="24"/>
              </w:rPr>
              <w:t>2</w:t>
            </w:r>
            <w:r w:rsidR="0027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14B25">
        <w:rPr>
          <w:rFonts w:ascii="Times New Roman" w:hAnsi="Times New Roman"/>
          <w:sz w:val="24"/>
          <w:szCs w:val="24"/>
        </w:rPr>
        <w:t>2</w:t>
      </w:r>
      <w:r w:rsidR="00271462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D1188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547BF4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71462">
        <w:rPr>
          <w:rFonts w:ascii="Times New Roman" w:hAnsi="Times New Roman"/>
          <w:noProof/>
          <w:sz w:val="24"/>
          <w:szCs w:val="24"/>
        </w:rPr>
        <w:t>28</w:t>
      </w:r>
    </w:p>
    <w:p w:rsidR="002974B4" w:rsidRPr="00C139FE" w:rsidRDefault="00547BF4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71462">
        <w:rPr>
          <w:rFonts w:ascii="Times New Roman" w:hAnsi="Times New Roman"/>
          <w:noProof/>
          <w:sz w:val="24"/>
          <w:szCs w:val="24"/>
        </w:rPr>
        <w:t>32</w:t>
      </w:r>
    </w:p>
    <w:p w:rsidR="002974B4" w:rsidRPr="00C139FE" w:rsidRDefault="00547BF4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71462">
        <w:rPr>
          <w:rFonts w:ascii="Times New Roman" w:hAnsi="Times New Roman"/>
          <w:noProof/>
          <w:sz w:val="24"/>
          <w:szCs w:val="24"/>
        </w:rPr>
        <w:t>36</w:t>
      </w:r>
    </w:p>
    <w:p w:rsidR="002974B4" w:rsidRPr="0018335C" w:rsidRDefault="00547BF4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71462">
        <w:rPr>
          <w:rFonts w:ascii="Times New Roman" w:hAnsi="Times New Roman"/>
          <w:noProof/>
          <w:sz w:val="24"/>
          <w:szCs w:val="24"/>
        </w:rPr>
        <w:t>42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>1.1. 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555763">
        <w:rPr>
          <w:rFonts w:ascii="Times New Roman" w:hAnsi="Times New Roman"/>
          <w:sz w:val="24"/>
          <w:szCs w:val="24"/>
        </w:rPr>
        <w:t>ов</w:t>
      </w:r>
      <w:proofErr w:type="spellEnd"/>
      <w:r w:rsidR="00555763">
        <w:rPr>
          <w:rFonts w:ascii="Times New Roman" w:hAnsi="Times New Roman"/>
          <w:sz w:val="24"/>
          <w:szCs w:val="24"/>
        </w:rPr>
        <w:t xml:space="preserve">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9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0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639" w:type="dxa"/>
        <w:tblCellSpacing w:w="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375"/>
        <w:gridCol w:w="1376"/>
        <w:gridCol w:w="1376"/>
      </w:tblGrid>
      <w:tr w:rsidR="00693A44" w:rsidRPr="0018335C" w:rsidTr="00BF696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7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BF696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271462" w:rsidRPr="005C3ED2" w:rsidTr="00BF696E">
        <w:trPr>
          <w:tblCellSpacing w:w="0" w:type="dxa"/>
        </w:trPr>
        <w:tc>
          <w:tcPr>
            <w:tcW w:w="728" w:type="dxa"/>
            <w:vAlign w:val="center"/>
          </w:tcPr>
          <w:p w:rsidR="00271462" w:rsidRPr="0004515F" w:rsidRDefault="00271462" w:rsidP="00BF6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8" w:type="dxa"/>
            <w:vAlign w:val="center"/>
          </w:tcPr>
          <w:p w:rsidR="00271462" w:rsidRPr="0004515F" w:rsidRDefault="0027146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174" w:type="dxa"/>
            <w:vAlign w:val="center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76" w:type="dxa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76" w:type="dxa"/>
          </w:tcPr>
          <w:p w:rsidR="00271462" w:rsidRDefault="0027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</w:t>
      </w:r>
      <w:r w:rsidR="00725650">
        <w:rPr>
          <w:rFonts w:ascii="Times New Roman" w:hAnsi="Times New Roman"/>
          <w:sz w:val="24"/>
          <w:szCs w:val="24"/>
        </w:rPr>
        <w:t xml:space="preserve"> (не более 77,4 </w:t>
      </w:r>
      <w:proofErr w:type="spellStart"/>
      <w:r w:rsidR="00725650">
        <w:rPr>
          <w:rFonts w:ascii="Times New Roman" w:hAnsi="Times New Roman"/>
          <w:sz w:val="24"/>
          <w:szCs w:val="24"/>
        </w:rPr>
        <w:t>кв.м</w:t>
      </w:r>
      <w:proofErr w:type="spellEnd"/>
      <w:r w:rsidR="00725650">
        <w:rPr>
          <w:rFonts w:ascii="Times New Roman" w:hAnsi="Times New Roman"/>
          <w:sz w:val="24"/>
          <w:szCs w:val="24"/>
        </w:rPr>
        <w:t>.)</w:t>
      </w:r>
      <w:r w:rsidR="00D45600">
        <w:rPr>
          <w:rFonts w:ascii="Times New Roman" w:hAnsi="Times New Roman"/>
          <w:sz w:val="24"/>
          <w:szCs w:val="24"/>
        </w:rPr>
        <w:t>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</w:t>
      </w:r>
      <w:r w:rsidR="00314A41">
        <w:rPr>
          <w:rFonts w:ascii="Times New Roman" w:hAnsi="Times New Roman"/>
          <w:sz w:val="24"/>
          <w:szCs w:val="24"/>
        </w:rPr>
        <w:t xml:space="preserve"> по договору</w:t>
      </w:r>
      <w:r w:rsidR="004F127A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314A41">
        <w:rPr>
          <w:rFonts w:ascii="Times New Roman" w:hAnsi="Times New Roman"/>
          <w:sz w:val="24"/>
          <w:szCs w:val="24"/>
        </w:rPr>
        <w:t xml:space="preserve">продление </w:t>
      </w:r>
      <w:r w:rsidR="004F127A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314A41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4F127A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 xml:space="preserve"> 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>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истечении максимального срока, указанного 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</w:t>
      </w:r>
      <w:r w:rsidR="004F127A" w:rsidRPr="0018335C">
        <w:rPr>
          <w:rFonts w:ascii="Times New Roman" w:hAnsi="Times New Roman"/>
          <w:sz w:val="24"/>
          <w:szCs w:val="24"/>
        </w:rPr>
        <w:lastRenderedPageBreak/>
        <w:t xml:space="preserve">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>месяца, следующим за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 xml:space="preserve">вое управление Администрации </w:t>
      </w:r>
      <w:proofErr w:type="spellStart"/>
      <w:r w:rsidR="007418C4">
        <w:rPr>
          <w:rFonts w:ascii="Times New Roman" w:hAnsi="Times New Roman"/>
          <w:sz w:val="24"/>
          <w:szCs w:val="24"/>
        </w:rPr>
        <w:t>г.</w:t>
      </w:r>
      <w:r w:rsidRPr="00334E1C">
        <w:rPr>
          <w:rFonts w:ascii="Times New Roman" w:hAnsi="Times New Roman"/>
          <w:sz w:val="24"/>
          <w:szCs w:val="24"/>
        </w:rPr>
        <w:t>Пскова</w:t>
      </w:r>
      <w:proofErr w:type="spellEnd"/>
      <w:r w:rsidRPr="00334E1C">
        <w:rPr>
          <w:rFonts w:ascii="Times New Roman" w:hAnsi="Times New Roman"/>
          <w:sz w:val="24"/>
          <w:szCs w:val="24"/>
        </w:rPr>
        <w:t xml:space="preserve">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proofErr w:type="spellStart"/>
      <w:r w:rsidR="007418C4">
        <w:rPr>
          <w:rFonts w:ascii="Times New Roman" w:hAnsi="Times New Roman"/>
          <w:sz w:val="24"/>
          <w:szCs w:val="24"/>
        </w:rPr>
        <w:t>г.</w:t>
      </w:r>
      <w:r w:rsidRPr="00334E1C">
        <w:rPr>
          <w:rFonts w:ascii="Times New Roman" w:hAnsi="Times New Roman"/>
          <w:sz w:val="24"/>
          <w:szCs w:val="24"/>
        </w:rPr>
        <w:t>Псков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г.Псков</w:t>
      </w:r>
      <w:proofErr w:type="spellEnd"/>
      <w:r w:rsidRPr="006B6B19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proofErr w:type="gramStart"/>
      <w:r w:rsidRPr="006B6B19">
        <w:rPr>
          <w:rFonts w:ascii="Times New Roman" w:hAnsi="Times New Roman"/>
          <w:sz w:val="24"/>
          <w:szCs w:val="24"/>
        </w:rPr>
        <w:t>каб.№</w:t>
      </w:r>
      <w:proofErr w:type="gramEnd"/>
      <w:r w:rsidRPr="006B6B19">
        <w:rPr>
          <w:rFonts w:ascii="Times New Roman" w:hAnsi="Times New Roman"/>
          <w:sz w:val="24"/>
          <w:szCs w:val="24"/>
        </w:rPr>
        <w:t>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337BC2">
        <w:rPr>
          <w:rFonts w:ascii="Times New Roman" w:hAnsi="Times New Roman"/>
          <w:sz w:val="24"/>
          <w:szCs w:val="24"/>
        </w:rPr>
        <w:t>аявок на участие в конкурсе:</w:t>
      </w:r>
      <w:r w:rsidR="007418C4" w:rsidRPr="00337BC2">
        <w:rPr>
          <w:rFonts w:ascii="Times New Roman" w:hAnsi="Times New Roman"/>
          <w:sz w:val="24"/>
          <w:szCs w:val="24"/>
        </w:rPr>
        <w:t xml:space="preserve"> </w:t>
      </w:r>
      <w:r w:rsidR="00314B25">
        <w:rPr>
          <w:rFonts w:ascii="Times New Roman" w:hAnsi="Times New Roman"/>
          <w:b/>
          <w:sz w:val="24"/>
          <w:szCs w:val="24"/>
        </w:rPr>
        <w:t>«</w:t>
      </w:r>
      <w:r w:rsidR="00271462">
        <w:rPr>
          <w:rFonts w:ascii="Times New Roman" w:hAnsi="Times New Roman"/>
          <w:b/>
          <w:sz w:val="24"/>
          <w:szCs w:val="24"/>
        </w:rPr>
        <w:t>2</w:t>
      </w:r>
      <w:r w:rsidR="003D1188">
        <w:rPr>
          <w:rFonts w:ascii="Times New Roman" w:hAnsi="Times New Roman"/>
          <w:b/>
          <w:sz w:val="24"/>
          <w:szCs w:val="24"/>
        </w:rPr>
        <w:t>1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</w:t>
      </w:r>
      <w:r w:rsidR="00271462">
        <w:rPr>
          <w:rFonts w:ascii="Times New Roman" w:hAnsi="Times New Roman"/>
          <w:b/>
          <w:sz w:val="24"/>
          <w:szCs w:val="24"/>
        </w:rPr>
        <w:t>января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202</w:t>
      </w:r>
      <w:r w:rsidR="00314B25">
        <w:rPr>
          <w:rFonts w:ascii="Times New Roman" w:hAnsi="Times New Roman"/>
          <w:b/>
          <w:sz w:val="24"/>
          <w:szCs w:val="24"/>
        </w:rPr>
        <w:t>2</w:t>
      </w:r>
      <w:r w:rsidR="00334E1C" w:rsidRPr="00337BC2">
        <w:rPr>
          <w:rFonts w:ascii="Times New Roman" w:hAnsi="Times New Roman"/>
          <w:b/>
          <w:sz w:val="24"/>
          <w:szCs w:val="24"/>
        </w:rPr>
        <w:t xml:space="preserve"> года</w:t>
      </w:r>
      <w:r w:rsidRPr="00337BC2">
        <w:rPr>
          <w:rFonts w:ascii="Times New Roman" w:hAnsi="Times New Roman"/>
          <w:sz w:val="24"/>
          <w:szCs w:val="24"/>
        </w:rPr>
        <w:t>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0319F" w:rsidRPr="00C651E8">
        <w:rPr>
          <w:rFonts w:ascii="Times New Roman" w:hAnsi="Times New Roman"/>
          <w:b/>
          <w:sz w:val="24"/>
          <w:szCs w:val="24"/>
        </w:rPr>
        <w:t>«</w:t>
      </w:r>
      <w:r w:rsidR="00271462">
        <w:rPr>
          <w:rFonts w:ascii="Times New Roman" w:hAnsi="Times New Roman"/>
          <w:b/>
          <w:sz w:val="24"/>
          <w:szCs w:val="24"/>
        </w:rPr>
        <w:t>24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»  </w:t>
      </w:r>
      <w:r w:rsidR="00271462">
        <w:rPr>
          <w:rFonts w:ascii="Times New Roman" w:hAnsi="Times New Roman"/>
          <w:b/>
          <w:sz w:val="24"/>
          <w:szCs w:val="24"/>
        </w:rPr>
        <w:t>февраля</w:t>
      </w:r>
      <w:r w:rsidR="00271462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C0319F" w:rsidRPr="00C651E8">
        <w:rPr>
          <w:rFonts w:ascii="Times New Roman" w:hAnsi="Times New Roman"/>
          <w:b/>
          <w:sz w:val="24"/>
          <w:szCs w:val="24"/>
        </w:rPr>
        <w:t>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13 часов 00 минут</w:t>
      </w:r>
      <w:r w:rsidR="00AE2EFD" w:rsidRPr="00337BC2">
        <w:rPr>
          <w:rFonts w:ascii="Times New Roman" w:hAnsi="Times New Roman"/>
          <w:sz w:val="24"/>
          <w:szCs w:val="24"/>
        </w:rPr>
        <w:t xml:space="preserve"> </w:t>
      </w:r>
      <w:r w:rsidR="007B2513" w:rsidRPr="00337BC2">
        <w:rPr>
          <w:rFonts w:ascii="Times New Roman" w:hAnsi="Times New Roman"/>
          <w:sz w:val="24"/>
          <w:szCs w:val="24"/>
        </w:rPr>
        <w:t xml:space="preserve">(время </w:t>
      </w:r>
      <w:r w:rsidR="00675B6E" w:rsidRPr="00337BC2">
        <w:rPr>
          <w:rFonts w:ascii="Times New Roman" w:hAnsi="Times New Roman"/>
          <w:sz w:val="24"/>
          <w:szCs w:val="24"/>
        </w:rPr>
        <w:t>м</w:t>
      </w:r>
      <w:r w:rsidRPr="00337BC2">
        <w:rPr>
          <w:rFonts w:ascii="Times New Roman" w:hAnsi="Times New Roman"/>
          <w:sz w:val="24"/>
          <w:szCs w:val="24"/>
        </w:rPr>
        <w:t>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1.1</w:t>
      </w:r>
      <w:r w:rsidR="00C11BFF" w:rsidRPr="00337BC2">
        <w:rPr>
          <w:rFonts w:ascii="Times New Roman" w:hAnsi="Times New Roman"/>
          <w:sz w:val="24"/>
          <w:szCs w:val="24"/>
        </w:rPr>
        <w:t>8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337BC2">
        <w:rPr>
          <w:rFonts w:ascii="Times New Roman" w:hAnsi="Times New Roman"/>
          <w:sz w:val="24"/>
          <w:szCs w:val="24"/>
        </w:rPr>
        <w:t>г.Псков</w:t>
      </w:r>
      <w:proofErr w:type="spellEnd"/>
      <w:r w:rsidRPr="00337BC2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337BC2">
        <w:rPr>
          <w:rFonts w:ascii="Times New Roman" w:hAnsi="Times New Roman"/>
          <w:sz w:val="24"/>
          <w:szCs w:val="24"/>
        </w:rPr>
        <w:t>аб</w:t>
      </w:r>
      <w:r w:rsidR="00675B6E" w:rsidRPr="00337BC2">
        <w:rPr>
          <w:rFonts w:ascii="Times New Roman" w:hAnsi="Times New Roman"/>
          <w:sz w:val="24"/>
          <w:szCs w:val="24"/>
        </w:rPr>
        <w:t>.19</w:t>
      </w:r>
      <w:r w:rsidR="008C56FB" w:rsidRPr="00337BC2">
        <w:rPr>
          <w:rFonts w:ascii="Times New Roman" w:hAnsi="Times New Roman"/>
          <w:sz w:val="24"/>
          <w:szCs w:val="24"/>
        </w:rPr>
        <w:t xml:space="preserve">б, </w:t>
      </w:r>
      <w:r w:rsidR="00314B25">
        <w:rPr>
          <w:rFonts w:ascii="Times New Roman" w:hAnsi="Times New Roman"/>
          <w:b/>
          <w:sz w:val="24"/>
          <w:szCs w:val="24"/>
        </w:rPr>
        <w:t>«</w:t>
      </w:r>
      <w:r w:rsidR="00271462">
        <w:rPr>
          <w:rFonts w:ascii="Times New Roman" w:hAnsi="Times New Roman"/>
          <w:b/>
          <w:sz w:val="24"/>
          <w:szCs w:val="24"/>
        </w:rPr>
        <w:t>24</w:t>
      </w:r>
      <w:r w:rsidR="00C0319F" w:rsidRPr="00C651E8">
        <w:rPr>
          <w:rFonts w:ascii="Times New Roman" w:hAnsi="Times New Roman"/>
          <w:b/>
          <w:sz w:val="24"/>
          <w:szCs w:val="24"/>
        </w:rPr>
        <w:t>»</w:t>
      </w:r>
      <w:r w:rsidR="00271462">
        <w:rPr>
          <w:rFonts w:ascii="Times New Roman" w:hAnsi="Times New Roman"/>
          <w:b/>
          <w:sz w:val="24"/>
          <w:szCs w:val="24"/>
        </w:rPr>
        <w:t xml:space="preserve"> февраля</w:t>
      </w:r>
      <w:r w:rsidR="00271462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C0319F" w:rsidRPr="00C651E8">
        <w:rPr>
          <w:rFonts w:ascii="Times New Roman" w:hAnsi="Times New Roman"/>
          <w:b/>
          <w:sz w:val="24"/>
          <w:szCs w:val="24"/>
        </w:rPr>
        <w:t>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B632C6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337BC2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</w:t>
      </w:r>
      <w:r w:rsidR="00C11BFF" w:rsidRPr="00337BC2">
        <w:rPr>
          <w:rFonts w:ascii="Times New Roman" w:hAnsi="Times New Roman"/>
          <w:sz w:val="24"/>
          <w:szCs w:val="24"/>
        </w:rPr>
        <w:t>19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г.Пско</w:t>
      </w:r>
      <w:r w:rsidR="003F1028" w:rsidRPr="00337BC2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="003F1028" w:rsidRPr="00337BC2">
        <w:rPr>
          <w:rFonts w:ascii="Times New Roman" w:hAnsi="Times New Roman"/>
          <w:color w:val="000000"/>
          <w:sz w:val="24"/>
          <w:szCs w:val="24"/>
        </w:rPr>
        <w:t>, Набережная реки Великой, д.6</w:t>
      </w:r>
      <w:r w:rsidR="00675B6E" w:rsidRPr="00337BC2">
        <w:rPr>
          <w:rFonts w:ascii="Times New Roman" w:hAnsi="Times New Roman"/>
          <w:sz w:val="24"/>
          <w:szCs w:val="24"/>
        </w:rPr>
        <w:t>, каб.19</w:t>
      </w:r>
      <w:r w:rsidR="002E4529" w:rsidRPr="00337BC2">
        <w:rPr>
          <w:rFonts w:ascii="Times New Roman" w:hAnsi="Times New Roman"/>
          <w:sz w:val="24"/>
          <w:szCs w:val="24"/>
        </w:rPr>
        <w:t xml:space="preserve">б, </w:t>
      </w:r>
      <w:r w:rsidR="00C0319F" w:rsidRPr="00C651E8">
        <w:rPr>
          <w:rFonts w:ascii="Times New Roman" w:hAnsi="Times New Roman"/>
          <w:b/>
          <w:sz w:val="24"/>
          <w:szCs w:val="24"/>
        </w:rPr>
        <w:t>«</w:t>
      </w:r>
      <w:r w:rsidR="00271462">
        <w:rPr>
          <w:rFonts w:ascii="Times New Roman" w:hAnsi="Times New Roman"/>
          <w:b/>
          <w:sz w:val="24"/>
          <w:szCs w:val="24"/>
        </w:rPr>
        <w:t>25</w:t>
      </w:r>
      <w:r w:rsidR="00C0319F" w:rsidRPr="00C651E8">
        <w:rPr>
          <w:rFonts w:ascii="Times New Roman" w:hAnsi="Times New Roman"/>
          <w:b/>
          <w:sz w:val="24"/>
          <w:szCs w:val="24"/>
        </w:rPr>
        <w:t>»</w:t>
      </w:r>
      <w:r w:rsidR="00271462">
        <w:rPr>
          <w:rFonts w:ascii="Times New Roman" w:hAnsi="Times New Roman"/>
          <w:b/>
          <w:sz w:val="24"/>
          <w:szCs w:val="24"/>
        </w:rPr>
        <w:t xml:space="preserve"> февраля</w:t>
      </w:r>
      <w:r w:rsidR="00271462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C0319F" w:rsidRPr="00C651E8">
        <w:rPr>
          <w:rFonts w:ascii="Times New Roman" w:hAnsi="Times New Roman"/>
          <w:b/>
          <w:sz w:val="24"/>
          <w:szCs w:val="24"/>
        </w:rPr>
        <w:t>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E1A78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3161E9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1.2</w:t>
      </w:r>
      <w:r w:rsidR="00C11BFF" w:rsidRPr="00337BC2">
        <w:rPr>
          <w:rFonts w:ascii="Times New Roman" w:hAnsi="Times New Roman"/>
          <w:sz w:val="24"/>
          <w:szCs w:val="24"/>
        </w:rPr>
        <w:t>0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337BC2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337BC2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337BC2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каб.19</w:t>
      </w:r>
      <w:r w:rsidRPr="00337BC2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C0319F" w:rsidRPr="00C651E8">
        <w:rPr>
          <w:rFonts w:ascii="Times New Roman" w:hAnsi="Times New Roman"/>
          <w:b/>
          <w:sz w:val="24"/>
          <w:szCs w:val="24"/>
        </w:rPr>
        <w:t>«</w:t>
      </w:r>
      <w:r w:rsidR="00271462">
        <w:rPr>
          <w:rFonts w:ascii="Times New Roman" w:hAnsi="Times New Roman"/>
          <w:b/>
          <w:sz w:val="24"/>
          <w:szCs w:val="24"/>
        </w:rPr>
        <w:t>28</w:t>
      </w:r>
      <w:r w:rsidR="00C0319F" w:rsidRPr="00C651E8">
        <w:rPr>
          <w:rFonts w:ascii="Times New Roman" w:hAnsi="Times New Roman"/>
          <w:b/>
          <w:sz w:val="24"/>
          <w:szCs w:val="24"/>
        </w:rPr>
        <w:t>»</w:t>
      </w:r>
      <w:r w:rsidR="00271462">
        <w:rPr>
          <w:rFonts w:ascii="Times New Roman" w:hAnsi="Times New Roman"/>
          <w:b/>
          <w:sz w:val="24"/>
          <w:szCs w:val="24"/>
        </w:rPr>
        <w:t xml:space="preserve"> февраля</w:t>
      </w:r>
      <w:r w:rsidR="00271462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C0319F" w:rsidRPr="00C651E8">
        <w:rPr>
          <w:rFonts w:ascii="Times New Roman" w:hAnsi="Times New Roman"/>
          <w:b/>
          <w:sz w:val="24"/>
          <w:szCs w:val="24"/>
        </w:rPr>
        <w:t>202</w:t>
      </w:r>
      <w:r w:rsidR="00C0319F">
        <w:rPr>
          <w:rFonts w:ascii="Times New Roman" w:hAnsi="Times New Roman"/>
          <w:b/>
          <w:sz w:val="24"/>
          <w:szCs w:val="24"/>
        </w:rPr>
        <w:t>2</w:t>
      </w:r>
      <w:r w:rsidR="00C0319F" w:rsidRPr="00C651E8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D5788A" w:rsidRPr="00337BC2">
        <w:rPr>
          <w:rFonts w:ascii="Times New Roman" w:hAnsi="Times New Roman"/>
          <w:sz w:val="24"/>
          <w:szCs w:val="24"/>
        </w:rPr>
        <w:t>1</w:t>
      </w:r>
      <w:r w:rsidR="00334E1C" w:rsidRPr="00337BC2">
        <w:rPr>
          <w:rFonts w:ascii="Times New Roman" w:hAnsi="Times New Roman"/>
          <w:sz w:val="24"/>
          <w:szCs w:val="24"/>
        </w:rPr>
        <w:t>1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lastRenderedPageBreak/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1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r w:rsidR="00D1162B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2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справк</w:t>
      </w:r>
      <w:r w:rsidR="006312D7">
        <w:rPr>
          <w:rFonts w:ascii="Times New Roman" w:hAnsi="Times New Roman"/>
          <w:sz w:val="24"/>
          <w:szCs w:val="24"/>
        </w:rPr>
        <w:t>у</w:t>
      </w:r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lastRenderedPageBreak/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>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</w:t>
      </w:r>
      <w:r w:rsidRPr="0018335C">
        <w:rPr>
          <w:rFonts w:ascii="Times New Roman" w:hAnsi="Times New Roman"/>
          <w:sz w:val="24"/>
          <w:szCs w:val="24"/>
        </w:rPr>
        <w:lastRenderedPageBreak/>
        <w:t>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241"/>
      <w:bookmarkEnd w:id="16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</w:t>
      </w:r>
      <w:r w:rsidR="007256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2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245"/>
      <w:bookmarkEnd w:id="20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6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2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2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24"/>
      <w:bookmarkEnd w:id="23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63"/>
      <w:bookmarkEnd w:id="24"/>
      <w:r w:rsidRPr="0018335C">
        <w:rPr>
          <w:rFonts w:ascii="Times New Roman" w:hAnsi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4"/>
      <w:bookmarkEnd w:id="25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5"/>
      <w:bookmarkEnd w:id="26"/>
      <w:r w:rsidRPr="0018335C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7"/>
      <w:bookmarkEnd w:id="27"/>
      <w:r w:rsidRPr="0018335C">
        <w:rPr>
          <w:rFonts w:ascii="Times New Roman" w:hAnsi="Times New Roman"/>
          <w:sz w:val="24"/>
          <w:szCs w:val="24"/>
        </w:rPr>
        <w:lastRenderedPageBreak/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8"/>
      <w:bookmarkEnd w:id="28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аудио-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9"/>
      <w:bookmarkEnd w:id="29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70"/>
      <w:bookmarkEnd w:id="30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1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>. Срок рассмотрения заявок на участие в конкурсе не может превышать двадцати календарных дней с даты вскрытия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2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4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4" w:name="__RefHeading__44919_1387100790"/>
      <w:bookmarkEnd w:id="34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5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5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1777"/>
      <w:bookmarkEnd w:id="36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079"/>
      <w:bookmarkStart w:id="38" w:name="sub_1084"/>
      <w:bookmarkEnd w:id="37"/>
      <w:bookmarkEnd w:id="38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80"/>
      <w:bookmarkEnd w:id="39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832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(Б1),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(Б2),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В1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(В1),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устанавливается 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оэффициент значимости (0,125) умножается на отношение разности </w:t>
      </w:r>
      <w:proofErr w:type="gramStart"/>
      <w:r w:rsidR="009A6276" w:rsidRPr="0018335C">
        <w:rPr>
          <w:rFonts w:ascii="Times New Roman" w:hAnsi="Times New Roman"/>
          <w:color w:val="000000"/>
          <w:sz w:val="24"/>
          <w:szCs w:val="24"/>
        </w:rPr>
        <w:t>значения</w:t>
      </w:r>
      <w:proofErr w:type="gramEnd"/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(В2),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78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Оценка заявки = А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финансовой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Срок оценки и сопоставления таких заявок не может превышать десяти дней с даты подписания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085"/>
      <w:bookmarkStart w:id="43" w:name="_Ref166265221"/>
      <w:bookmarkStart w:id="44" w:name="_Ref119430371"/>
      <w:bookmarkEnd w:id="42"/>
      <w:bookmarkEnd w:id="43"/>
      <w:bookmarkEnd w:id="44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которая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1086"/>
      <w:bookmarkEnd w:id="45"/>
      <w:r w:rsidRPr="0018335C">
        <w:rPr>
          <w:rFonts w:ascii="Times New Roman" w:hAnsi="Times New Roman"/>
          <w:sz w:val="24"/>
          <w:szCs w:val="24"/>
        </w:rPr>
        <w:t>5.5.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7"/>
      <w:bookmarkEnd w:id="46"/>
      <w:r w:rsidRPr="0018335C">
        <w:rPr>
          <w:rFonts w:ascii="Times New Roman" w:hAnsi="Times New Roman"/>
          <w:sz w:val="24"/>
          <w:szCs w:val="24"/>
        </w:rPr>
        <w:t>5.6. 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конкурсе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8"/>
      <w:bookmarkEnd w:id="47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9"/>
      <w:bookmarkStart w:id="49" w:name="sub_1090"/>
      <w:bookmarkEnd w:id="48"/>
      <w:bookmarkEnd w:id="49"/>
      <w:r w:rsidRPr="0018335C">
        <w:rPr>
          <w:rFonts w:ascii="Times New Roman" w:hAnsi="Times New Roman"/>
          <w:sz w:val="24"/>
          <w:szCs w:val="24"/>
        </w:rPr>
        <w:t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91"/>
      <w:bookmarkEnd w:id="50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1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6. Заключение договора по результатам конкурса</w:t>
      </w:r>
      <w:bookmarkEnd w:id="5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2"/>
      <w:bookmarkEnd w:id="52"/>
      <w:r w:rsidRPr="0018335C">
        <w:rPr>
          <w:rFonts w:ascii="Times New Roman" w:hAnsi="Times New Roman"/>
          <w:sz w:val="24"/>
          <w:szCs w:val="24"/>
        </w:rPr>
        <w:t xml:space="preserve">6.1. 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3"/>
      <w:bookmarkEnd w:id="53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931"/>
      <w:bookmarkEnd w:id="54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2"/>
      <w:bookmarkEnd w:id="55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3"/>
      <w:bookmarkEnd w:id="56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094"/>
      <w:bookmarkEnd w:id="57"/>
      <w:r w:rsidRPr="0018335C">
        <w:rPr>
          <w:rFonts w:ascii="Times New Roman" w:hAnsi="Times New Roman"/>
          <w:sz w:val="24"/>
          <w:szCs w:val="24"/>
        </w:rPr>
        <w:t>6.4.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5"/>
      <w:bookmarkStart w:id="59" w:name="sub_1096"/>
      <w:bookmarkEnd w:id="58"/>
      <w:bookmarkEnd w:id="59"/>
      <w:r w:rsidRPr="0018335C">
        <w:rPr>
          <w:rFonts w:ascii="Times New Roman" w:hAnsi="Times New Roman"/>
          <w:sz w:val="24"/>
          <w:szCs w:val="24"/>
        </w:rPr>
        <w:t>6.5.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7"/>
      <w:bookmarkEnd w:id="60"/>
      <w:r w:rsidRPr="0018335C">
        <w:rPr>
          <w:rFonts w:ascii="Times New Roman" w:hAnsi="Times New Roman"/>
          <w:sz w:val="24"/>
          <w:szCs w:val="24"/>
        </w:rPr>
        <w:t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</w:t>
      </w:r>
      <w:r w:rsidRPr="0018335C">
        <w:rPr>
          <w:rFonts w:ascii="Times New Roman" w:hAnsi="Times New Roman"/>
          <w:sz w:val="24"/>
          <w:szCs w:val="24"/>
        </w:rPr>
        <w:lastRenderedPageBreak/>
        <w:t>участнику конкурса, заявке на участие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1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>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6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1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431"/>
      <w:bookmarkStart w:id="63" w:name="sub_1432"/>
      <w:bookmarkEnd w:id="62"/>
      <w:bookmarkEnd w:id="63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4"/>
      <w:bookmarkEnd w:id="64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271462" w:rsidRDefault="00271462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B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_Ref166442569"/>
      <w:bookmarkStart w:id="66" w:name="_Ref166442484"/>
      <w:bookmarkStart w:id="67" w:name="_Ref166332298"/>
      <w:bookmarkEnd w:id="65"/>
      <w:bookmarkEnd w:id="66"/>
      <w:bookmarkEnd w:id="67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8" w:name="__RefHeading__44925_1387100790"/>
      <w:bookmarkEnd w:id="68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69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69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от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0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1" w:name="_Toc315271800"/>
      <w:bookmarkEnd w:id="70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4B1C5E">
        <w:rPr>
          <w:rFonts w:ascii="Times New Roman" w:hAnsi="Times New Roman"/>
          <w:sz w:val="24"/>
          <w:szCs w:val="24"/>
        </w:rPr>
        <w:t>и.о</w:t>
      </w:r>
      <w:proofErr w:type="spellEnd"/>
      <w:r w:rsidR="004B1C5E"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4B1C5E">
        <w:rPr>
          <w:rFonts w:ascii="Times New Roman" w:hAnsi="Times New Roman"/>
          <w:sz w:val="24"/>
          <w:szCs w:val="24"/>
        </w:rPr>
        <w:t>Мартынова Юрия Анатольевича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</w:t>
      </w:r>
      <w:r w:rsidRPr="00E16CC2">
        <w:rPr>
          <w:rFonts w:ascii="Times New Roman" w:hAnsi="Times New Roman"/>
          <w:sz w:val="24"/>
          <w:szCs w:val="24"/>
        </w:rPr>
        <w:t>» 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E16CC2">
        <w:rPr>
          <w:rFonts w:ascii="Times New Roman" w:hAnsi="Times New Roman"/>
          <w:sz w:val="24"/>
          <w:szCs w:val="24"/>
        </w:rPr>
        <w:t>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)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="00BE79E4"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r w:rsidRPr="00E16CC2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</w:t>
      </w:r>
      <w:r w:rsidR="00314B25">
        <w:rPr>
          <w:rFonts w:ascii="Times New Roman" w:hAnsi="Times New Roman"/>
          <w:sz w:val="24"/>
          <w:szCs w:val="24"/>
        </w:rPr>
        <w:t xml:space="preserve">и пункте 3.6. </w:t>
      </w:r>
      <w:r w:rsidRPr="0018335C">
        <w:rPr>
          <w:rFonts w:ascii="Times New Roman" w:hAnsi="Times New Roman"/>
          <w:sz w:val="24"/>
          <w:szCs w:val="24"/>
        </w:rPr>
        <w:t xml:space="preserve">настоящего Договора, на сумму задолженности </w:t>
      </w:r>
      <w:r w:rsidR="00D87317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="00D87317" w:rsidRPr="0018335C">
        <w:rPr>
          <w:rFonts w:ascii="Times New Roman" w:hAnsi="Times New Roman"/>
          <w:sz w:val="24"/>
          <w:szCs w:val="24"/>
        </w:rPr>
        <w:t>начисл</w:t>
      </w:r>
      <w:r w:rsidR="00D87317">
        <w:rPr>
          <w:rFonts w:ascii="Times New Roman" w:hAnsi="Times New Roman"/>
          <w:sz w:val="24"/>
          <w:szCs w:val="24"/>
        </w:rPr>
        <w:t>ить</w:t>
      </w:r>
      <w:r w:rsidR="00D87317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пени в размере </w:t>
      </w:r>
      <w:r>
        <w:rPr>
          <w:rFonts w:ascii="Times New Roman" w:hAnsi="Times New Roman"/>
          <w:sz w:val="24"/>
          <w:szCs w:val="24"/>
        </w:rPr>
        <w:t>0,</w:t>
      </w:r>
      <w:r w:rsidR="005C3ED2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>6027129771, КПП 602701001, Финансовое управление Администрации г. Пскова (МБУ «Псковский бизнес-инкубатор» л/с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="00D66771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8227F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2. </w:t>
      </w:r>
      <w:r w:rsidR="00D66771" w:rsidRPr="00F8227F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E16CC2"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3. </w:t>
      </w:r>
      <w:r w:rsidR="00D66771" w:rsidRPr="00F8227F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E16CC2" w:rsidRPr="00F8227F">
        <w:rPr>
          <w:rFonts w:ascii="Times New Roman" w:hAnsi="Times New Roman"/>
          <w:sz w:val="24"/>
          <w:szCs w:val="24"/>
        </w:rPr>
        <w:t xml:space="preserve">25 </w:t>
      </w:r>
      <w:r w:rsidR="00D66771" w:rsidRPr="00F8227F">
        <w:rPr>
          <w:rFonts w:ascii="Times New Roman" w:hAnsi="Times New Roman"/>
          <w:sz w:val="24"/>
          <w:szCs w:val="24"/>
        </w:rPr>
        <w:t>по техническому паспорту, кабинет №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E16CC2" w:rsidRPr="00F8227F">
        <w:rPr>
          <w:rFonts w:ascii="Times New Roman" w:hAnsi="Times New Roman"/>
          <w:sz w:val="24"/>
          <w:szCs w:val="24"/>
        </w:rPr>
        <w:t>7</w:t>
      </w:r>
      <w:r w:rsidR="00365CF6" w:rsidRPr="00F8227F">
        <w:rPr>
          <w:rFonts w:ascii="Times New Roman" w:hAnsi="Times New Roman"/>
          <w:sz w:val="24"/>
          <w:szCs w:val="24"/>
        </w:rPr>
        <w:t>а</w:t>
      </w:r>
      <w:r w:rsidR="00D66771" w:rsidRPr="00F8227F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F8227F" w:rsidRPr="00F8227F">
        <w:rPr>
          <w:rFonts w:ascii="Times New Roman" w:hAnsi="Times New Roman"/>
          <w:sz w:val="24"/>
          <w:szCs w:val="24"/>
        </w:rPr>
        <w:t>140</w:t>
      </w:r>
      <w:r w:rsidR="00D66771" w:rsidRPr="00F8227F">
        <w:rPr>
          <w:rFonts w:ascii="Times New Roman" w:hAnsi="Times New Roman"/>
          <w:sz w:val="24"/>
          <w:szCs w:val="24"/>
        </w:rPr>
        <w:t xml:space="preserve"> от </w:t>
      </w:r>
      <w:r w:rsidR="00F8227F" w:rsidRPr="00F8227F">
        <w:rPr>
          <w:rFonts w:ascii="Times New Roman" w:hAnsi="Times New Roman"/>
          <w:sz w:val="24"/>
          <w:szCs w:val="24"/>
        </w:rPr>
        <w:t>12</w:t>
      </w:r>
      <w:r w:rsidR="00C57526" w:rsidRPr="00F8227F">
        <w:rPr>
          <w:rFonts w:ascii="Times New Roman" w:hAnsi="Times New Roman"/>
          <w:sz w:val="24"/>
          <w:szCs w:val="24"/>
        </w:rPr>
        <w:t>.</w:t>
      </w:r>
      <w:r w:rsidR="00F8227F" w:rsidRPr="00F8227F">
        <w:rPr>
          <w:rFonts w:ascii="Times New Roman" w:hAnsi="Times New Roman"/>
          <w:sz w:val="24"/>
          <w:szCs w:val="24"/>
        </w:rPr>
        <w:t>11</w:t>
      </w:r>
      <w:r w:rsidR="00D66771" w:rsidRPr="00F8227F">
        <w:rPr>
          <w:rFonts w:ascii="Times New Roman" w:hAnsi="Times New Roman"/>
          <w:sz w:val="24"/>
          <w:szCs w:val="24"/>
        </w:rPr>
        <w:t>.202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D66771" w:rsidRPr="00F8227F">
        <w:rPr>
          <w:rFonts w:ascii="Times New Roman" w:hAnsi="Times New Roman"/>
          <w:sz w:val="24"/>
          <w:szCs w:val="24"/>
        </w:rPr>
        <w:t xml:space="preserve"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г.Псков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 xml:space="preserve">, Набережная реки Великой, д.6, составляет 365 (триста шестьдесят пять) рублей за 1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в месяц (без НДС).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4. </w:t>
      </w:r>
      <w:r w:rsidR="00D66771" w:rsidRPr="00F8227F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D66771" w:rsidRPr="00AC6977" w:rsidRDefault="00F8227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х _______________ руб./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= __________ руб./месяц.</w:t>
      </w:r>
      <w:r w:rsidR="00D66771">
        <w:rPr>
          <w:rFonts w:ascii="Times New Roman" w:hAnsi="Times New Roman"/>
          <w:sz w:val="24"/>
          <w:szCs w:val="24"/>
        </w:rPr>
        <w:t xml:space="preserve">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481F1A">
        <w:rPr>
          <w:rFonts w:ascii="Times New Roman" w:hAnsi="Times New Roman"/>
          <w:sz w:val="24"/>
          <w:szCs w:val="24"/>
        </w:rPr>
        <w:t>и.о</w:t>
      </w:r>
      <w:proofErr w:type="spellEnd"/>
      <w:r w:rsidR="00481F1A"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481F1A">
        <w:rPr>
          <w:rFonts w:ascii="Times New Roman" w:hAnsi="Times New Roman"/>
          <w:sz w:val="24"/>
          <w:szCs w:val="24"/>
        </w:rPr>
        <w:t>Мартынова Юрия Анатольевича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</w:t>
      </w:r>
      <w:r w:rsidRPr="00E16CC2">
        <w:rPr>
          <w:rFonts w:ascii="Times New Roman" w:hAnsi="Times New Roman"/>
          <w:sz w:val="24"/>
          <w:szCs w:val="24"/>
        </w:rPr>
        <w:t xml:space="preserve">бизнес-инкубатор» </w:t>
      </w:r>
      <w:r w:rsidR="00365CF6" w:rsidRPr="00E16CC2">
        <w:rPr>
          <w:rFonts w:ascii="Times New Roman" w:hAnsi="Times New Roman"/>
          <w:sz w:val="24"/>
          <w:szCs w:val="24"/>
        </w:rPr>
        <w:t>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="00365CF6"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r w:rsidRPr="00E16CC2">
        <w:rPr>
          <w:rFonts w:ascii="Times New Roman" w:hAnsi="Times New Roman"/>
          <w:sz w:val="24"/>
          <w:szCs w:val="24"/>
        </w:rPr>
        <w:t>., расположенного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proofErr w:type="spellStart"/>
      <w:r w:rsidR="00242BE6">
        <w:rPr>
          <w:rFonts w:ascii="Times New Roman" w:hAnsi="Times New Roman"/>
          <w:sz w:val="24"/>
          <w:szCs w:val="24"/>
        </w:rPr>
        <w:t>и.о</w:t>
      </w:r>
      <w:proofErr w:type="spellEnd"/>
      <w:r w:rsidR="00242BE6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242BE6">
        <w:rPr>
          <w:rFonts w:ascii="Times New Roman" w:hAnsi="Times New Roman"/>
          <w:sz w:val="24"/>
          <w:szCs w:val="24"/>
        </w:rPr>
        <w:t>Мартынова Юрия Анатольевича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обстоятельств чрезвычайного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ИНН 6027129771, КПП 602701001, Финансовое управление Администрации г. Пскова (МБУ «Псковский бизнес-инкубатор» л/с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314B25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FD4B63">
        <w:rPr>
          <w:rFonts w:ascii="Times New Roman" w:hAnsi="Times New Roman"/>
          <w:sz w:val="24"/>
          <w:szCs w:val="24"/>
        </w:rPr>
        <w:t>Мартынова Юрия Анатольевича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г.Псков</w:t>
      </w:r>
      <w:proofErr w:type="spellEnd"/>
      <w:r w:rsidRPr="0018335C">
        <w:t xml:space="preserve">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proofErr w:type="gramStart"/>
      <w:r w:rsidR="000B70B1">
        <w:tab/>
      </w:r>
      <w:r w:rsidRPr="0018335C">
        <w:t xml:space="preserve">  «</w:t>
      </w:r>
      <w:proofErr w:type="gramEnd"/>
      <w:r w:rsidRPr="0018335C">
        <w:t>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FD4B63">
        <w:rPr>
          <w:rFonts w:ascii="Times New Roman" w:hAnsi="Times New Roman"/>
          <w:sz w:val="24"/>
          <w:szCs w:val="24"/>
        </w:rPr>
        <w:t>и.о</w:t>
      </w:r>
      <w:proofErr w:type="spellEnd"/>
      <w:r w:rsidR="00FD4B63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FD4B63">
        <w:rPr>
          <w:rFonts w:ascii="Times New Roman" w:hAnsi="Times New Roman"/>
          <w:sz w:val="24"/>
          <w:szCs w:val="24"/>
        </w:rPr>
        <w:t>Мартынова Юрия Анатольевича</w:t>
      </w:r>
      <w:bookmarkStart w:id="72" w:name="_GoBack"/>
      <w:bookmarkEnd w:id="72"/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>Исполнитель до 20 числа месяца, следующего за расчетным,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="00314B25">
        <w:rPr>
          <w:rFonts w:ascii="Times New Roman" w:hAnsi="Times New Roman"/>
          <w:sz w:val="24"/>
          <w:szCs w:val="24"/>
        </w:rPr>
        <w:t xml:space="preserve">не позднее последнего </w:t>
      </w:r>
      <w:r w:rsidRPr="0018335C">
        <w:rPr>
          <w:rFonts w:ascii="Times New Roman" w:hAnsi="Times New Roman"/>
          <w:sz w:val="24"/>
          <w:szCs w:val="24"/>
        </w:rPr>
        <w:t xml:space="preserve">числа месяца, следующего за расчетным.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В случае невнесения </w:t>
      </w:r>
      <w:r w:rsidR="001B6472">
        <w:rPr>
          <w:rFonts w:ascii="Times New Roman" w:hAnsi="Times New Roman"/>
          <w:sz w:val="24"/>
          <w:szCs w:val="24"/>
        </w:rPr>
        <w:t xml:space="preserve">Потребителем </w:t>
      </w:r>
      <w:r w:rsidRPr="0018335C">
        <w:rPr>
          <w:rFonts w:ascii="Times New Roman" w:hAnsi="Times New Roman"/>
          <w:sz w:val="24"/>
          <w:szCs w:val="24"/>
        </w:rPr>
        <w:t>в установленный срок платы за Услуги</w:t>
      </w:r>
      <w:r w:rsidR="001B6472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1B6472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1B6472" w:rsidRPr="0018335C">
        <w:rPr>
          <w:rFonts w:ascii="Times New Roman" w:hAnsi="Times New Roman"/>
          <w:sz w:val="24"/>
          <w:szCs w:val="24"/>
        </w:rPr>
        <w:t>начисл</w:t>
      </w:r>
      <w:r w:rsidR="001B6472">
        <w:rPr>
          <w:rFonts w:ascii="Times New Roman" w:hAnsi="Times New Roman"/>
          <w:sz w:val="24"/>
          <w:szCs w:val="24"/>
        </w:rPr>
        <w:t>ить</w:t>
      </w:r>
      <w:r w:rsidR="001B6472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Потребител</w:t>
      </w:r>
      <w:r w:rsidR="001B6472">
        <w:rPr>
          <w:rFonts w:ascii="Times New Roman" w:hAnsi="Times New Roman"/>
          <w:sz w:val="24"/>
          <w:szCs w:val="24"/>
        </w:rPr>
        <w:t>ю</w:t>
      </w:r>
      <w:r w:rsidRPr="0018335C">
        <w:rPr>
          <w:rFonts w:ascii="Times New Roman" w:hAnsi="Times New Roman"/>
          <w:sz w:val="24"/>
          <w:szCs w:val="24"/>
        </w:rPr>
        <w:t xml:space="preserve"> пени в размере </w:t>
      </w:r>
      <w:r w:rsidR="00D929B9">
        <w:rPr>
          <w:rFonts w:ascii="Times New Roman" w:hAnsi="Times New Roman"/>
          <w:sz w:val="24"/>
          <w:szCs w:val="24"/>
        </w:rPr>
        <w:t>0,5</w:t>
      </w:r>
      <w:r w:rsidR="00D929B9" w:rsidRPr="0018335C">
        <w:rPr>
          <w:rFonts w:ascii="Times New Roman" w:hAnsi="Times New Roman"/>
          <w:sz w:val="24"/>
          <w:szCs w:val="24"/>
        </w:rPr>
        <w:t>% от суммы задолженности за каждый день просрочки</w:t>
      </w:r>
      <w:r w:rsidR="00D929B9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</w:t>
      </w:r>
      <w:r w:rsidRPr="0018335C">
        <w:lastRenderedPageBreak/>
        <w:t>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966B35" w:rsidRDefault="000B70B1" w:rsidP="00D929B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>иректор _______________</w:t>
      </w:r>
      <w:r w:rsidR="00966B35" w:rsidRPr="00B901FC">
        <w:rPr>
          <w:rFonts w:ascii="Times New Roman" w:hAnsi="Times New Roman"/>
          <w:sz w:val="20"/>
          <w:szCs w:val="24"/>
        </w:rPr>
        <w:t>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71462" w:rsidRDefault="00271462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71462" w:rsidRDefault="00271462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1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план.прибыль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преимуществ представленной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3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3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тыс.руб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4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4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D929B9" w:rsidRDefault="00D929B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D929B9" w:rsidRDefault="00D929B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Настоящий Порядок определяет механизм проведения мониторинга реализации бизнес-планов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</w:t>
      </w:r>
      <w:r w:rsidR="00D929B9" w:rsidRPr="0018335C">
        <w:rPr>
          <w:rFonts w:ascii="Times New Roman" w:hAnsi="Times New Roman"/>
          <w:sz w:val="24"/>
          <w:szCs w:val="24"/>
        </w:rPr>
        <w:t>месяца,</w:t>
      </w:r>
      <w:r w:rsidRPr="0018335C">
        <w:rPr>
          <w:rFonts w:ascii="Times New Roman" w:hAnsi="Times New Roman"/>
          <w:sz w:val="24"/>
          <w:szCs w:val="24"/>
        </w:rPr>
        <w:t xml:space="preserve">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Вышеперечисленные документы предоставляются в срок до 30 апреля года, следующего за отчетным.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</w:t>
      </w:r>
      <w:proofErr w:type="gramStart"/>
      <w:r w:rsidRPr="0018335C">
        <w:rPr>
          <w:rFonts w:ascii="Times New Roman" w:hAnsi="Times New Roman"/>
          <w:sz w:val="20"/>
          <w:szCs w:val="20"/>
        </w:rPr>
        <w:t>квартал  =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 (∑С/С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E16CC2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</w:t>
      </w:r>
      <w:proofErr w:type="gramStart"/>
      <w:r w:rsidRPr="0018335C">
        <w:rPr>
          <w:rFonts w:ascii="Times New Roman" w:hAnsi="Times New Roman"/>
          <w:sz w:val="20"/>
          <w:szCs w:val="20"/>
        </w:rPr>
        <w:t>квартал  =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 (∑С/С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F4" w:rsidRDefault="00547BF4" w:rsidP="00947DC7">
      <w:pPr>
        <w:spacing w:after="0" w:line="240" w:lineRule="auto"/>
      </w:pPr>
      <w:r>
        <w:separator/>
      </w:r>
    </w:p>
  </w:endnote>
  <w:endnote w:type="continuationSeparator" w:id="0">
    <w:p w:rsidR="00547BF4" w:rsidRDefault="00547BF4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16135"/>
      <w:docPartObj>
        <w:docPartGallery w:val="Page Numbers (Bottom of Page)"/>
        <w:docPartUnique/>
      </w:docPartObj>
    </w:sdtPr>
    <w:sdtEndPr/>
    <w:sdtContent>
      <w:p w:rsidR="00314B25" w:rsidRDefault="00314B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6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F4" w:rsidRDefault="00547BF4" w:rsidP="00947DC7">
      <w:pPr>
        <w:spacing w:after="0" w:line="240" w:lineRule="auto"/>
      </w:pPr>
      <w:r>
        <w:separator/>
      </w:r>
    </w:p>
  </w:footnote>
  <w:footnote w:type="continuationSeparator" w:id="0">
    <w:p w:rsidR="00547BF4" w:rsidRDefault="00547BF4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4C0D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5E3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472"/>
    <w:rsid w:val="001B6948"/>
    <w:rsid w:val="001B74C9"/>
    <w:rsid w:val="001C3D4E"/>
    <w:rsid w:val="001C5E2E"/>
    <w:rsid w:val="001C74B1"/>
    <w:rsid w:val="001D016D"/>
    <w:rsid w:val="001D01BA"/>
    <w:rsid w:val="001D285F"/>
    <w:rsid w:val="001D4DB6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BE6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462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4A41"/>
    <w:rsid w:val="00314B25"/>
    <w:rsid w:val="00314BBB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37BC2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4C57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188"/>
    <w:rsid w:val="003D1BA0"/>
    <w:rsid w:val="003D259E"/>
    <w:rsid w:val="003D2EA6"/>
    <w:rsid w:val="003D34C1"/>
    <w:rsid w:val="003D4F3F"/>
    <w:rsid w:val="003E24B5"/>
    <w:rsid w:val="003E4EBD"/>
    <w:rsid w:val="003E6B4F"/>
    <w:rsid w:val="003F1028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1F1A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1C5E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47BF4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3ED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5650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5A5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C6D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6813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66A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96E"/>
    <w:rsid w:val="00BF6D4D"/>
    <w:rsid w:val="00C0319F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87317"/>
    <w:rsid w:val="00D929B9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16CC2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227F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4B63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7B932-BAD3-41F4-BA90-90D68AA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hyperlink" Target="garantF1://12025267.3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bizpsk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2905-520C-4E0A-88E0-37A5DBC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46</Pages>
  <Words>17943</Words>
  <Characters>102281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119985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2022-01-19T11:02:00Z</cp:lastPrinted>
  <dcterms:created xsi:type="dcterms:W3CDTF">2021-03-25T08:08:00Z</dcterms:created>
  <dcterms:modified xsi:type="dcterms:W3CDTF">2022-01-20T13:04:00Z</dcterms:modified>
</cp:coreProperties>
</file>